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38BB9B" w14:textId="77777777" w:rsidR="00384FE4" w:rsidRDefault="00000000">
      <w:pPr>
        <w:pStyle w:val="Nadpis2"/>
        <w:keepNext w:val="0"/>
        <w:keepLines w:val="0"/>
        <w:spacing w:before="0" w:after="400" w:line="312" w:lineRule="auto"/>
        <w:ind w:left="340"/>
        <w:rPr>
          <w:rFonts w:ascii="Roboto" w:eastAsia="Roboto" w:hAnsi="Roboto" w:cs="Roboto"/>
          <w:sz w:val="63"/>
          <w:szCs w:val="63"/>
          <w:u w:val="single"/>
        </w:rPr>
      </w:pPr>
      <w:bookmarkStart w:id="0" w:name="_xyr3innu08mu" w:colFirst="0" w:colLast="0"/>
      <w:bookmarkEnd w:id="0"/>
      <w:r>
        <w:rPr>
          <w:rFonts w:ascii="Roboto" w:eastAsia="Roboto" w:hAnsi="Roboto" w:cs="Roboto"/>
          <w:sz w:val="63"/>
          <w:szCs w:val="63"/>
          <w:u w:val="single"/>
        </w:rPr>
        <w:t>Pravidla</w:t>
      </w:r>
    </w:p>
    <w:p w14:paraId="628218F3" w14:textId="400F3F6F" w:rsidR="00384FE4" w:rsidRDefault="00000000">
      <w:pPr>
        <w:numPr>
          <w:ilvl w:val="0"/>
          <w:numId w:val="1"/>
        </w:numPr>
        <w:spacing w:before="200"/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Další ročník tenisové ligy začíná na podzim 202</w:t>
      </w:r>
      <w:r w:rsidR="000E730C">
        <w:rPr>
          <w:rFonts w:ascii="Roboto" w:eastAsia="Roboto" w:hAnsi="Roboto" w:cs="Roboto"/>
          <w:b/>
          <w:sz w:val="24"/>
          <w:szCs w:val="24"/>
          <w:u w:val="single"/>
        </w:rPr>
        <w:t>4</w:t>
      </w:r>
      <w:r>
        <w:rPr>
          <w:rFonts w:ascii="Roboto" w:eastAsia="Roboto" w:hAnsi="Roboto" w:cs="Roboto"/>
          <w:b/>
          <w:sz w:val="24"/>
          <w:szCs w:val="24"/>
          <w:u w:val="single"/>
        </w:rPr>
        <w:t>. Pořadí žebříčku (a následně i skupin) bude určeno z výsledků minulého ročníku ligy.</w:t>
      </w:r>
    </w:p>
    <w:p w14:paraId="340414FE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Liga bude rozdělena do několika skupin dle počtu hráčů. Počet skupin i počet hráčů ve skupinách se může během ročníku měnit po uzavření kola.</w:t>
      </w:r>
    </w:p>
    <w:p w14:paraId="1BA631A3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Liga se dělí na kola. Délka kola je závislá na počtu hráčů ve skupině. Co hráč ve skupině, to 1 týden kola ligy.</w:t>
      </w:r>
    </w:p>
    <w:p w14:paraId="51CAFA21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Hráči provádí registraci do ligy přes odkaz na formulář. Nový hráč může do ligy vstoupit kdykoliv během ročníku při novém kole. Nový hráč je zařazen do nejnižší skupiny.</w:t>
      </w:r>
    </w:p>
    <w:p w14:paraId="72EA9B80" w14:textId="29BA39ED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 xml:space="preserve">DIVOKÁ KARTA – nový hráč či stávající hráč, který je nespokojen se svým umístěním, může zažádat o „divokou kartu“. Díky divoké kartě si hráč může vybrat skupinu, do které chce být zařazen. O divokou kartu se žádá přes email </w:t>
      </w:r>
      <w:r w:rsidR="000E730C">
        <w:rPr>
          <w:rFonts w:ascii="Roboto" w:eastAsia="Roboto" w:hAnsi="Roboto" w:cs="Roboto"/>
          <w:b/>
          <w:color w:val="CD4566"/>
          <w:sz w:val="24"/>
          <w:szCs w:val="24"/>
          <w:u w:val="single"/>
        </w:rPr>
        <w:t>markova.tyna@gmail.com</w:t>
      </w:r>
    </w:p>
    <w:p w14:paraId="2D5C83B3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Hráč je povinen sehrát v průběhu každého kola vzájemné zápasy na 1 vítězný set. Termíny zápasů si hráči sjednávají sami.</w:t>
      </w:r>
    </w:p>
    <w:p w14:paraId="513529CA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Každý hráč je povinen mít vytvořenou registraci na webových stránkách Sportcentra Forea – sport.forea.cz. Registraci je možné provést i na recepci.</w:t>
      </w:r>
    </w:p>
    <w:p w14:paraId="7F911A52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Jednotlivá kola vyhlašuje správce ligy, dle počtu skupin a hráčů ve skupinách.</w:t>
      </w:r>
    </w:p>
    <w:p w14:paraId="7CABCA39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Hraje se na klasický tenisový set, za stavu 6:6 se dohrává tiebreak.</w:t>
      </w:r>
    </w:p>
    <w:p w14:paraId="6579F872" w14:textId="1E2C3E4F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 xml:space="preserve">Hráč je povinen v den odehrání zápasu výsledek nahlásit přímo na recepci sportcentra. V případě chybně zapsaného výsledku pište na email: </w:t>
      </w:r>
      <w:r w:rsidR="000E730C">
        <w:rPr>
          <w:rFonts w:ascii="Roboto" w:eastAsia="Roboto" w:hAnsi="Roboto" w:cs="Roboto"/>
          <w:b/>
          <w:color w:val="CD4566"/>
          <w:sz w:val="24"/>
          <w:szCs w:val="24"/>
          <w:u w:val="single"/>
        </w:rPr>
        <w:t>markova.tyna@gmai.com</w:t>
      </w:r>
      <w:r>
        <w:rPr>
          <w:rFonts w:ascii="Roboto" w:eastAsia="Roboto" w:hAnsi="Roboto" w:cs="Roboto"/>
          <w:b/>
          <w:sz w:val="24"/>
          <w:szCs w:val="24"/>
          <w:u w:val="single"/>
        </w:rPr>
        <w:t xml:space="preserve"> </w:t>
      </w:r>
    </w:p>
    <w:p w14:paraId="133D247A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Všichni hráči jsou povinni se navzájem zkontaktovat do 5 dnů od začátku nového kola ohledně domluvy termínů zápasů. Pokud hráč neodpoví na zkontaktování do 5 dnů (emailem nebo telefonem), tak hráč, který termín vypsal, zkontaktuje správce ligy, a ten se pokusí zjistit, proč hráč neodpovídá. Když se ani poté hráč neozve, tak hráč, který termín vypsal, si může připsat skreč 6:S ve svůj prospěch.</w:t>
      </w:r>
    </w:p>
    <w:p w14:paraId="2BAD27D9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Pokud se hráč z domluveného zápasu omluví, musí navrhnout nový termín zápasu nejpozději do 2 dnů.</w:t>
      </w:r>
    </w:p>
    <w:p w14:paraId="2CDE8D45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Pokud se hráči navzájem nezkontaktují, a nedomluví se na žádném termínu, bude oběma hráčům připsán výsledek S:S, tzn. pro oba –5 bodů.</w:t>
      </w:r>
    </w:p>
    <w:p w14:paraId="70DE56F2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Hráč, který po 1 kole neodehraje ani jeden zápas, a nebude řádně omluven, bude z ligy vyřazen.</w:t>
      </w:r>
    </w:p>
    <w:p w14:paraId="1CBA7BAD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Hráči si mohou rezervovat čas zápasu až tři týdny dopředu v rezervačním systému anebo na recepci.</w:t>
      </w:r>
    </w:p>
    <w:p w14:paraId="392755C5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lastRenderedPageBreak/>
        <w:t>Zápasy se hrají pouze ve Sportcentru Forea, Opletalova 95, Lanškroun.</w:t>
      </w:r>
    </w:p>
    <w:p w14:paraId="351229B4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Jednotlivé zápasy budou zvýhodněny 20% slevou.</w:t>
      </w:r>
    </w:p>
    <w:p w14:paraId="14D6AEA4" w14:textId="77777777" w:rsidR="00384FE4" w:rsidRDefault="00000000">
      <w:pPr>
        <w:numPr>
          <w:ilvl w:val="0"/>
          <w:numId w:val="1"/>
        </w:numPr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Hráči se dělí stejnoměrně jak o platbu kurtu, tak o dodání míčů.</w:t>
      </w:r>
    </w:p>
    <w:p w14:paraId="0AF691AA" w14:textId="77777777" w:rsidR="00384FE4" w:rsidRDefault="00000000">
      <w:pPr>
        <w:numPr>
          <w:ilvl w:val="0"/>
          <w:numId w:val="1"/>
        </w:numPr>
        <w:spacing w:after="200"/>
        <w:ind w:left="940"/>
        <w:rPr>
          <w:b/>
          <w:color w:val="000000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Nově byl do bodování přidán stav 6:N a N:6, který bude používán při zranění jednoho z hráčů. Funkce je stejná jako u skreče, avšak hráč, který nezvládne odehrát zápas kvůli zranění, nedostane mínusové body, ale 0 bodů.</w:t>
      </w:r>
    </w:p>
    <w:p w14:paraId="303ED032" w14:textId="77777777" w:rsidR="00384FE4" w:rsidRDefault="00000000">
      <w:pPr>
        <w:pStyle w:val="Nadpis2"/>
        <w:keepNext w:val="0"/>
        <w:keepLines w:val="0"/>
        <w:spacing w:before="0" w:after="400" w:line="312" w:lineRule="auto"/>
        <w:rPr>
          <w:rFonts w:ascii="Roboto" w:eastAsia="Roboto" w:hAnsi="Roboto" w:cs="Roboto"/>
          <w:sz w:val="63"/>
          <w:szCs w:val="63"/>
          <w:u w:val="single"/>
        </w:rPr>
      </w:pPr>
      <w:bookmarkStart w:id="1" w:name="_7hq50g3iiitt" w:colFirst="0" w:colLast="0"/>
      <w:bookmarkEnd w:id="1"/>
      <w:r>
        <w:rPr>
          <w:rFonts w:ascii="Roboto" w:eastAsia="Roboto" w:hAnsi="Roboto" w:cs="Roboto"/>
          <w:sz w:val="63"/>
          <w:szCs w:val="63"/>
          <w:u w:val="single"/>
        </w:rPr>
        <w:t>Bodování</w:t>
      </w:r>
    </w:p>
    <w:tbl>
      <w:tblPr>
        <w:tblStyle w:val="a"/>
        <w:tblW w:w="7275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645"/>
        <w:gridCol w:w="645"/>
        <w:gridCol w:w="630"/>
        <w:gridCol w:w="630"/>
        <w:gridCol w:w="645"/>
        <w:gridCol w:w="645"/>
        <w:gridCol w:w="630"/>
        <w:gridCol w:w="645"/>
        <w:gridCol w:w="660"/>
        <w:gridCol w:w="705"/>
      </w:tblGrid>
      <w:tr w:rsidR="00384FE4" w14:paraId="51B1F013" w14:textId="77777777">
        <w:trPr>
          <w:trHeight w:val="973"/>
        </w:trPr>
        <w:tc>
          <w:tcPr>
            <w:tcW w:w="79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EE7EC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74C5D2CC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stav</w:t>
            </w:r>
          </w:p>
        </w:tc>
        <w:tc>
          <w:tcPr>
            <w:tcW w:w="64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EE7EC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6434C4A2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6:0</w:t>
            </w:r>
          </w:p>
        </w:tc>
        <w:tc>
          <w:tcPr>
            <w:tcW w:w="64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EE7EC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576863AD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6:1</w:t>
            </w:r>
          </w:p>
        </w:tc>
        <w:tc>
          <w:tcPr>
            <w:tcW w:w="63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EE7EC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5AC4C21B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6:2</w:t>
            </w:r>
          </w:p>
        </w:tc>
        <w:tc>
          <w:tcPr>
            <w:tcW w:w="63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EE7EC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495772FB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6:3</w:t>
            </w:r>
          </w:p>
        </w:tc>
        <w:tc>
          <w:tcPr>
            <w:tcW w:w="64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EE7EC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3AE2D39C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6:4</w:t>
            </w:r>
          </w:p>
        </w:tc>
        <w:tc>
          <w:tcPr>
            <w:tcW w:w="64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EE7EC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2ADCEC01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7:5</w:t>
            </w:r>
          </w:p>
        </w:tc>
        <w:tc>
          <w:tcPr>
            <w:tcW w:w="63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EE7EC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78569E27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7:6</w:t>
            </w:r>
          </w:p>
        </w:tc>
        <w:tc>
          <w:tcPr>
            <w:tcW w:w="64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EE7EC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2DFE3C6C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6:S</w:t>
            </w:r>
          </w:p>
        </w:tc>
        <w:tc>
          <w:tcPr>
            <w:tcW w:w="6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EE7EC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0D60D7A0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6:N</w:t>
            </w:r>
          </w:p>
        </w:tc>
        <w:tc>
          <w:tcPr>
            <w:tcW w:w="70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EE7EC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573CC72D" w14:textId="77777777" w:rsidR="00384FE4" w:rsidRDefault="00384FE4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</w:p>
        </w:tc>
      </w:tr>
      <w:tr w:rsidR="00384FE4" w14:paraId="0E5A5693" w14:textId="77777777">
        <w:trPr>
          <w:trHeight w:val="811"/>
        </w:trPr>
        <w:tc>
          <w:tcPr>
            <w:tcW w:w="79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3253E3DE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body</w:t>
            </w:r>
          </w:p>
        </w:tc>
        <w:tc>
          <w:tcPr>
            <w:tcW w:w="64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575982C1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15</w:t>
            </w:r>
          </w:p>
        </w:tc>
        <w:tc>
          <w:tcPr>
            <w:tcW w:w="64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1FFA0E6A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14</w:t>
            </w:r>
          </w:p>
        </w:tc>
        <w:tc>
          <w:tcPr>
            <w:tcW w:w="63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5707CC5A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13</w:t>
            </w:r>
          </w:p>
        </w:tc>
        <w:tc>
          <w:tcPr>
            <w:tcW w:w="63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61377C59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12</w:t>
            </w:r>
          </w:p>
        </w:tc>
        <w:tc>
          <w:tcPr>
            <w:tcW w:w="64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28AA5280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11</w:t>
            </w:r>
          </w:p>
        </w:tc>
        <w:tc>
          <w:tcPr>
            <w:tcW w:w="64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292BCF1E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10</w:t>
            </w:r>
          </w:p>
        </w:tc>
        <w:tc>
          <w:tcPr>
            <w:tcW w:w="63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10B58AD7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9</w:t>
            </w:r>
          </w:p>
        </w:tc>
        <w:tc>
          <w:tcPr>
            <w:tcW w:w="64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1F9C24E3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15</w:t>
            </w:r>
          </w:p>
        </w:tc>
        <w:tc>
          <w:tcPr>
            <w:tcW w:w="66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443FD695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10</w:t>
            </w:r>
          </w:p>
        </w:tc>
        <w:tc>
          <w:tcPr>
            <w:tcW w:w="70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6017DBDB" w14:textId="77777777" w:rsidR="00384FE4" w:rsidRDefault="00384FE4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</w:p>
        </w:tc>
      </w:tr>
    </w:tbl>
    <w:p w14:paraId="3AB7FC1A" w14:textId="77777777" w:rsidR="00384FE4" w:rsidRDefault="00384FE4">
      <w:pPr>
        <w:pStyle w:val="Nadpis2"/>
        <w:keepNext w:val="0"/>
        <w:keepLines w:val="0"/>
        <w:spacing w:before="0" w:after="400" w:line="312" w:lineRule="auto"/>
        <w:rPr>
          <w:rFonts w:ascii="Roboto" w:eastAsia="Roboto" w:hAnsi="Roboto" w:cs="Roboto"/>
          <w:sz w:val="63"/>
          <w:szCs w:val="63"/>
          <w:u w:val="single"/>
        </w:rPr>
      </w:pPr>
      <w:bookmarkStart w:id="2" w:name="_nzirwo73cgso" w:colFirst="0" w:colLast="0"/>
      <w:bookmarkEnd w:id="2"/>
    </w:p>
    <w:tbl>
      <w:tblPr>
        <w:tblStyle w:val="a0"/>
        <w:tblW w:w="7380" w:type="dxa"/>
        <w:tblInd w:w="-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645"/>
        <w:gridCol w:w="645"/>
        <w:gridCol w:w="645"/>
        <w:gridCol w:w="660"/>
        <w:gridCol w:w="660"/>
        <w:gridCol w:w="630"/>
        <w:gridCol w:w="645"/>
        <w:gridCol w:w="660"/>
        <w:gridCol w:w="660"/>
        <w:gridCol w:w="690"/>
      </w:tblGrid>
      <w:tr w:rsidR="00384FE4" w14:paraId="4CAF6448" w14:textId="77777777">
        <w:trPr>
          <w:trHeight w:val="973"/>
        </w:trPr>
        <w:tc>
          <w:tcPr>
            <w:tcW w:w="84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shd w:val="clear" w:color="auto" w:fill="FF9FA9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3F4F3BD9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stav</w:t>
            </w:r>
          </w:p>
        </w:tc>
        <w:tc>
          <w:tcPr>
            <w:tcW w:w="645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shd w:val="clear" w:color="auto" w:fill="FF9FA9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5DB7DBD5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6:7</w:t>
            </w:r>
          </w:p>
        </w:tc>
        <w:tc>
          <w:tcPr>
            <w:tcW w:w="645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shd w:val="clear" w:color="auto" w:fill="FF9FA9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717958B6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5:7</w:t>
            </w:r>
          </w:p>
        </w:tc>
        <w:tc>
          <w:tcPr>
            <w:tcW w:w="645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shd w:val="clear" w:color="auto" w:fill="FF9FA9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574D3241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4:6</w:t>
            </w:r>
          </w:p>
        </w:tc>
        <w:tc>
          <w:tcPr>
            <w:tcW w:w="66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shd w:val="clear" w:color="auto" w:fill="FF9FA9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478DD66F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3:6</w:t>
            </w:r>
          </w:p>
        </w:tc>
        <w:tc>
          <w:tcPr>
            <w:tcW w:w="66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shd w:val="clear" w:color="auto" w:fill="FF9FA9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27682C9A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2:6</w:t>
            </w:r>
          </w:p>
        </w:tc>
        <w:tc>
          <w:tcPr>
            <w:tcW w:w="63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shd w:val="clear" w:color="auto" w:fill="FF9FA9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6283E656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1:6</w:t>
            </w:r>
          </w:p>
        </w:tc>
        <w:tc>
          <w:tcPr>
            <w:tcW w:w="645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shd w:val="clear" w:color="auto" w:fill="FF9FA9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79285BA3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0:6</w:t>
            </w:r>
          </w:p>
        </w:tc>
        <w:tc>
          <w:tcPr>
            <w:tcW w:w="66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shd w:val="clear" w:color="auto" w:fill="FF9FA9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1C5079B9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S:6</w:t>
            </w:r>
          </w:p>
        </w:tc>
        <w:tc>
          <w:tcPr>
            <w:tcW w:w="66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shd w:val="clear" w:color="auto" w:fill="FF9FA9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565A6B46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N:6</w:t>
            </w:r>
          </w:p>
        </w:tc>
        <w:tc>
          <w:tcPr>
            <w:tcW w:w="69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shd w:val="clear" w:color="auto" w:fill="FF9FA9"/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65D237B1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S:S</w:t>
            </w:r>
          </w:p>
        </w:tc>
      </w:tr>
      <w:tr w:rsidR="00384FE4" w14:paraId="4950211D" w14:textId="77777777">
        <w:trPr>
          <w:trHeight w:val="420"/>
        </w:trPr>
        <w:tc>
          <w:tcPr>
            <w:tcW w:w="84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7FA6F5F8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body</w:t>
            </w:r>
          </w:p>
        </w:tc>
        <w:tc>
          <w:tcPr>
            <w:tcW w:w="645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433726CD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6</w:t>
            </w:r>
          </w:p>
        </w:tc>
        <w:tc>
          <w:tcPr>
            <w:tcW w:w="645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35D85C1E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5</w:t>
            </w:r>
          </w:p>
        </w:tc>
        <w:tc>
          <w:tcPr>
            <w:tcW w:w="645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4852B5FA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4</w:t>
            </w:r>
          </w:p>
        </w:tc>
        <w:tc>
          <w:tcPr>
            <w:tcW w:w="66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281C11D0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3</w:t>
            </w:r>
          </w:p>
        </w:tc>
        <w:tc>
          <w:tcPr>
            <w:tcW w:w="66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57E411CE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2</w:t>
            </w:r>
          </w:p>
        </w:tc>
        <w:tc>
          <w:tcPr>
            <w:tcW w:w="63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638C0358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1</w:t>
            </w:r>
          </w:p>
        </w:tc>
        <w:tc>
          <w:tcPr>
            <w:tcW w:w="645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0D693C4F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0</w:t>
            </w:r>
          </w:p>
        </w:tc>
        <w:tc>
          <w:tcPr>
            <w:tcW w:w="66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193B6769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-5</w:t>
            </w:r>
          </w:p>
        </w:tc>
        <w:tc>
          <w:tcPr>
            <w:tcW w:w="66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16FAF047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0</w:t>
            </w:r>
          </w:p>
        </w:tc>
        <w:tc>
          <w:tcPr>
            <w:tcW w:w="690" w:type="dxa"/>
            <w:tcBorders>
              <w:top w:val="single" w:sz="8" w:space="0" w:color="8CACBB"/>
              <w:left w:val="single" w:sz="8" w:space="0" w:color="8CACBB"/>
              <w:bottom w:val="single" w:sz="8" w:space="0" w:color="8CACBB"/>
              <w:right w:val="single" w:sz="8" w:space="0" w:color="8CACBB"/>
            </w:tcBorders>
            <w:tcMar>
              <w:top w:w="60" w:type="dxa"/>
              <w:left w:w="160" w:type="dxa"/>
              <w:bottom w:w="60" w:type="dxa"/>
              <w:right w:w="160" w:type="dxa"/>
            </w:tcMar>
          </w:tcPr>
          <w:p w14:paraId="33E0920F" w14:textId="77777777" w:rsidR="00384FE4" w:rsidRDefault="00000000">
            <w:pPr>
              <w:spacing w:before="240" w:after="220"/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</w:pPr>
            <w:r>
              <w:rPr>
                <w:rFonts w:ascii="Roboto" w:eastAsia="Roboto" w:hAnsi="Roboto" w:cs="Roboto"/>
                <w:b/>
                <w:color w:val="787878"/>
                <w:sz w:val="20"/>
                <w:szCs w:val="20"/>
                <w:u w:val="single"/>
              </w:rPr>
              <w:t>-5</w:t>
            </w:r>
          </w:p>
        </w:tc>
      </w:tr>
    </w:tbl>
    <w:p w14:paraId="2213434F" w14:textId="77777777" w:rsidR="00384FE4" w:rsidRDefault="00384FE4">
      <w:pPr>
        <w:spacing w:after="400"/>
        <w:ind w:right="340"/>
        <w:rPr>
          <w:rFonts w:ascii="Roboto" w:eastAsia="Roboto" w:hAnsi="Roboto" w:cs="Roboto"/>
          <w:b/>
          <w:sz w:val="24"/>
          <w:szCs w:val="24"/>
          <w:u w:val="single"/>
        </w:rPr>
      </w:pPr>
    </w:p>
    <w:p w14:paraId="5809E525" w14:textId="77777777" w:rsidR="00384FE4" w:rsidRDefault="00000000">
      <w:pPr>
        <w:spacing w:after="400"/>
        <w:ind w:right="340"/>
        <w:rPr>
          <w:rFonts w:ascii="Roboto" w:eastAsia="Roboto" w:hAnsi="Roboto" w:cs="Roboto"/>
          <w:b/>
          <w:sz w:val="24"/>
          <w:szCs w:val="24"/>
          <w:u w:val="single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Kromě bodů za odehrané zápasy v jednotlivých kolech, každý hráč obdrží i body za účast v dané skupině. Body za účast ve skupině budou určeny dle počtu hráčů a skupin. Celkové body se pak sečtou a určují pořadí v celkovém žebříčku.</w:t>
      </w:r>
    </w:p>
    <w:p w14:paraId="0EA8A62B" w14:textId="77777777" w:rsidR="00384FE4" w:rsidRDefault="00000000">
      <w:pPr>
        <w:spacing w:after="400"/>
        <w:ind w:left="340" w:right="340"/>
        <w:rPr>
          <w:rFonts w:ascii="Roboto" w:eastAsia="Roboto" w:hAnsi="Roboto" w:cs="Roboto"/>
          <w:b/>
          <w:sz w:val="24"/>
          <w:szCs w:val="24"/>
          <w:u w:val="single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V případě různých počtů hráčů ve skupinách budou body ze zápasů přepočítány dle vzorce tak, aby to bylo pro všechny hráče spravedlivé.</w:t>
      </w:r>
    </w:p>
    <w:p w14:paraId="76FB7E68" w14:textId="77777777" w:rsidR="00384FE4" w:rsidRDefault="00000000">
      <w:pPr>
        <w:spacing w:after="400"/>
        <w:ind w:left="340" w:right="340"/>
        <w:rPr>
          <w:rFonts w:ascii="Roboto" w:eastAsia="Roboto" w:hAnsi="Roboto" w:cs="Roboto"/>
          <w:b/>
          <w:sz w:val="24"/>
          <w:szCs w:val="24"/>
          <w:u w:val="single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Dle počtu hráčů ve skupinách se určí počet hráčů, kteří ze skupiny spadnou a kteří postoupí.</w:t>
      </w:r>
    </w:p>
    <w:p w14:paraId="292D643A" w14:textId="77777777" w:rsidR="00384FE4" w:rsidRDefault="00000000">
      <w:pPr>
        <w:spacing w:after="400"/>
        <w:ind w:left="340" w:right="340"/>
        <w:rPr>
          <w:rFonts w:ascii="Roboto" w:eastAsia="Roboto" w:hAnsi="Roboto" w:cs="Roboto"/>
          <w:b/>
          <w:sz w:val="24"/>
          <w:szCs w:val="24"/>
          <w:u w:val="single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lastRenderedPageBreak/>
        <w:t>* jednotlivé body pravidel mohou být ku prospěchu hry správcem ligy upraveny i v průběhu</w:t>
      </w:r>
    </w:p>
    <w:p w14:paraId="4D6AD611" w14:textId="77777777" w:rsidR="00384FE4" w:rsidRDefault="00384FE4"/>
    <w:sectPr w:rsidR="00384FE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F87498E-3FF2-4277-A359-F52D0A181BFE}"/>
    <w:embedBold r:id="rId2" w:fontKey="{B2B1B176-F4D6-49F5-84BA-482B150A9D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2907503-38D5-4122-8BAB-4150F0D391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A9477C0-02CC-4049-A3C2-76309BF513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8559E5"/>
    <w:multiLevelType w:val="multilevel"/>
    <w:tmpl w:val="C6B0DDFC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787878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88241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FE4"/>
    <w:rsid w:val="000E730C"/>
    <w:rsid w:val="00384FE4"/>
    <w:rsid w:val="0054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7A639"/>
  <w15:docId w15:val="{A4DB8C0A-B2B0-4940-99D0-2F1C235D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482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Marková Kristýna (S-FAPPZ)</cp:lastModifiedBy>
  <cp:revision>2</cp:revision>
  <dcterms:created xsi:type="dcterms:W3CDTF">2024-08-27T19:49:00Z</dcterms:created>
  <dcterms:modified xsi:type="dcterms:W3CDTF">2024-08-27T19:52:00Z</dcterms:modified>
</cp:coreProperties>
</file>